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E9BA9" w14:textId="0F672677" w:rsidR="00F92116" w:rsidRPr="002644B1" w:rsidRDefault="00F92116" w:rsidP="00F92116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44B1">
        <w:rPr>
          <w:rFonts w:ascii="Times New Roman" w:eastAsia="Calibri" w:hAnsi="Times New Roman" w:cs="Times New Roman"/>
          <w:b/>
          <w:sz w:val="24"/>
          <w:szCs w:val="24"/>
        </w:rPr>
        <w:t>Приложение № II.3.2.</w:t>
      </w:r>
    </w:p>
    <w:p w14:paraId="0E2D1259" w14:textId="71E7BA9F" w:rsidR="002644B1" w:rsidRPr="002644B1" w:rsidRDefault="002A6728" w:rsidP="00F92116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Анализ</w:t>
      </w:r>
      <w:bookmarkStart w:id="0" w:name="_GoBack"/>
      <w:bookmarkEnd w:id="0"/>
      <w:r w:rsidR="002644B1" w:rsidRPr="002644B1">
        <w:rPr>
          <w:rFonts w:ascii="Times New Roman" w:eastAsia="Calibri" w:hAnsi="Times New Roman" w:cs="Times New Roman"/>
          <w:b/>
          <w:sz w:val="24"/>
          <w:szCs w:val="24"/>
        </w:rPr>
        <w:t xml:space="preserve"> на данните за скоростта на вятъра в района на </w:t>
      </w:r>
    </w:p>
    <w:p w14:paraId="033B4B19" w14:textId="29752584" w:rsidR="002644B1" w:rsidRPr="002644B1" w:rsidRDefault="002644B1" w:rsidP="00F92116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44B1">
        <w:rPr>
          <w:rFonts w:ascii="Times New Roman" w:eastAsia="Calibri" w:hAnsi="Times New Roman" w:cs="Times New Roman"/>
          <w:b/>
          <w:sz w:val="24"/>
          <w:szCs w:val="24"/>
        </w:rPr>
        <w:t>община Велико Търново</w:t>
      </w:r>
    </w:p>
    <w:p w14:paraId="0F03DE93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Анализът на данните за скоростта на вятъра показват, че случаите „тихо време“ са били с относително малка повторяемост (таблица № </w:t>
      </w:r>
      <w:r w:rsidRPr="00F92116">
        <w:rPr>
          <w:rFonts w:ascii="Times New Roman" w:eastAsia="Times New Roman" w:hAnsi="Times New Roman" w:cs="Times New Roman"/>
          <w:sz w:val="24"/>
          <w:szCs w:val="24"/>
        </w:rPr>
        <w:t>II.3.2.2</w:t>
      </w: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). За района те са били около 4,7 % (в случая под „тихо време“ се разбират едночасовите времеви интервали, през които скоростта на вятъра е била под  0,5 m/s). </w:t>
      </w:r>
    </w:p>
    <w:p w14:paraId="227E769C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Анализът на данните за скоростта на вятъра (таблица № </w:t>
      </w:r>
      <w:r w:rsidRPr="00F92116">
        <w:rPr>
          <w:rFonts w:ascii="Times New Roman" w:eastAsia="Times New Roman" w:hAnsi="Times New Roman" w:cs="Times New Roman"/>
          <w:sz w:val="24"/>
          <w:szCs w:val="24"/>
        </w:rPr>
        <w:t>II.3.2.1</w:t>
      </w:r>
      <w:r w:rsidRPr="00F92116">
        <w:rPr>
          <w:rFonts w:ascii="Times New Roman" w:eastAsia="Calibri" w:hAnsi="Times New Roman" w:cs="Times New Roman"/>
          <w:sz w:val="24"/>
          <w:szCs w:val="24"/>
        </w:rPr>
        <w:t>), показват, че случаите със скорост на вятъра под 1,54 m/s за района достигат до около 36%. Съгласно указанията на Европейската комисия в съобщение СОМ (2008) 403 окончателен, скорост на вятъра под 1.5 m/s, се явява неблагоприятна за разсейване. В такива случаи конвективният пренос на частици е силно затруднен и разсейването се осъществява основно на базата на молекулярна дифузия – разсейването става с много ниска скорост.</w:t>
      </w:r>
    </w:p>
    <w:p w14:paraId="689903E7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Доколкото скоростта на вятъра е основен фактор за оценка на разсейването, анализът на данните по скоростни интервали може да даде полезна допълнителна информация. Както е известно, триенето на вятъра по земната повърхност създава така наречената механична турбулентност. В близост до земната повърхност тя създава завихряне, което в общия случай благоприятства разсейването на замърсителите. Колкото по-силен е вятърът, толкова по-голяма е механичната турбулентност (по-силни са създадените вихри) и разсейването на замърсителите се подобрява. Тази констатация е в сила за всички газообразни замърсители при всички скорости на вятъра. Когато става дума за разсейване на частици (в случая на ФПЧ</w:t>
      </w:r>
      <w:r w:rsidRPr="00F92116">
        <w:rPr>
          <w:rFonts w:ascii="Times New Roman" w:eastAsia="Calibri" w:hAnsi="Times New Roman" w:cs="Times New Roman"/>
          <w:sz w:val="24"/>
          <w:szCs w:val="24"/>
          <w:vertAlign w:val="subscript"/>
        </w:rPr>
        <w:t>10</w:t>
      </w:r>
      <w:r w:rsidRPr="00F92116">
        <w:rPr>
          <w:rFonts w:ascii="Times New Roman" w:eastAsia="Calibri" w:hAnsi="Times New Roman" w:cs="Times New Roman"/>
          <w:sz w:val="24"/>
          <w:szCs w:val="24"/>
        </w:rPr>
        <w:t>) тази констатация следва да се оцени по различен начин. Когато скоростта на вятъра надвиши някаква критична скорост, в процеса на триене частиците също придобиват кинетична енергия. Когато последната превиши силите на сцепление, частиците се отделят от земната повърхност и започват да се придвижват свободно в направлението на вятъра. Явлението се нарича „ветрова ерозия” и предизвиква вторично замърсяване. Критичната скорост зависи основно от масата и формата на частиците, както и от силата на сцепление, която ги придържа към земната повърхност. В пустинни и степни области това явление предизвиква т.н. „прашни бури”.</w:t>
      </w:r>
    </w:p>
    <w:p w14:paraId="5137AED3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В урбанизираните територии механичната турбулентност също предизвиква вторично замърсяване, както от пътните платна с напластен пътен нанос, така и от всякакви други площи (строителни площадки, лошо поддържани паркинги и др.) без трайна настилка.  Първите признаци на „унасяне” на частици от пътните платна могат да се наблюдават </w:t>
      </w:r>
      <w:r w:rsidRPr="00F92116">
        <w:rPr>
          <w:rFonts w:ascii="Times New Roman" w:eastAsia="Calibri" w:hAnsi="Times New Roman" w:cs="Times New Roman"/>
          <w:sz w:val="24"/>
          <w:szCs w:val="24"/>
        </w:rPr>
        <w:lastRenderedPageBreak/>
        <w:t>при скорост на вятъра около 4 m/s. При скорост над 6 m/s запрашването е видимо с просто око и често значително. Ефектът се усилва, ако е съпроводен с трафик на автомобили или други строителни машини и техника. Подобно явление се наблюдава и от лошо поддържани „зелени” площи, при които вятърът влиза в директен контакт със земната повърхност.  Такива площи като правило са покрити с частично разпрашена почва, която лесно се отнася от вятъра. Веднага трябва да се отбележи, че добре затревената и поддържана зелена площ не може да бъде източник на вторично замърсяване с прах в резултат на ветрова ерозия.</w:t>
      </w:r>
    </w:p>
    <w:p w14:paraId="603AC2CC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От представените в таблица № </w:t>
      </w:r>
      <w:r w:rsidRPr="00F92116">
        <w:rPr>
          <w:rFonts w:ascii="Times New Roman" w:eastAsia="Times New Roman" w:hAnsi="Times New Roman" w:cs="Times New Roman"/>
          <w:sz w:val="24"/>
          <w:szCs w:val="24"/>
        </w:rPr>
        <w:t>II.3.2.1</w:t>
      </w:r>
      <w:r w:rsidRPr="00F9211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данни може да се види, че случаите със скорост на вятъра над 8,5 са изключително редки (под един процент). Преобладаващи са били ветровете със скорост в границите от 1,5 до 3,09 m/s, които са били около 36,1% от случаите. На второ място са били ветровете със скорост от 0,5 до 1,5 m/s (35,6%). На трето място са били ветровете със скорост в границите от 3,10 до 5,14 m/s (21,7%).  Най- редки са били ветровете със скорост от 5,15 до 8,23 m/s (1,8%), между 8,24 и 10,80 m/s (0,10 %) и тези със скорост над 10,80 m/s (0,03%). </w:t>
      </w:r>
    </w:p>
    <w:p w14:paraId="494FE666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При дисперсионното моделиране, способността на атмосферата за движение във вертикална посока се определя чрез въведените за целта категории на устойчивост на атмосферата. В качествено отношение категориите на устойчивост на атмосферата са известни със следните означения:</w:t>
      </w:r>
    </w:p>
    <w:p w14:paraId="1946AC2D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A - най-неустойчива атмосфера;</w:t>
      </w:r>
    </w:p>
    <w:p w14:paraId="4747FB03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B - умерено неустойчива атмосфера;</w:t>
      </w:r>
    </w:p>
    <w:p w14:paraId="2F757290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C - неустойчива атмосфера;</w:t>
      </w:r>
    </w:p>
    <w:p w14:paraId="47B8DB4C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D - неутрална атмосфера;</w:t>
      </w:r>
    </w:p>
    <w:p w14:paraId="19C1DC69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E - слабо устойчива атмосфера;</w:t>
      </w:r>
    </w:p>
    <w:p w14:paraId="3D316DE7" w14:textId="77777777" w:rsidR="00F92116" w:rsidRPr="00F92116" w:rsidRDefault="00F92116" w:rsidP="00F9211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F - устойчива атмосфера.</w:t>
      </w:r>
    </w:p>
    <w:p w14:paraId="2C5214E1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t>През деня, когато постъпващата слънчева радиация е голяма, а скоростта на вятъра малка, устойчивостта на атмосферата се определя като клас А. При силна слънчева радиация и скорост на вятъра над 6 m/s устойчивостта на атмосферата се определя като клас С, тъй като силният вятър препятства развитието на естествена термична конвекция, каквато се наблюдава при безветрие или много слаб вятър. Клас А съответства на най-неустойчива атмосфера, а клас В на умерено неустойчива. Това са най-благоприятните за разсейване условия, тъй като част от замърсителите се пренасят във височина и не позволяват достигането на високи приземни концентрации. Клас D предполага наличие на облачност и през деня и през нощта и се определя като неутрална атмосфера. Клас Е - слабо устойчива атмосфера, а клас F - на най-устойчива атмосфера.</w:t>
      </w:r>
    </w:p>
    <w:p w14:paraId="63F7CD09" w14:textId="77777777" w:rsidR="00F92116" w:rsidRPr="00F92116" w:rsidRDefault="00F92116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116">
        <w:rPr>
          <w:rFonts w:ascii="Times New Roman" w:eastAsia="Calibri" w:hAnsi="Times New Roman" w:cs="Times New Roman"/>
          <w:sz w:val="24"/>
          <w:szCs w:val="24"/>
        </w:rPr>
        <w:lastRenderedPageBreak/>
        <w:t>Условията за съществуване на категория А и В са ясно небе, слаб вятър, слънцето се е издигнало над хоризонта на повече от 60</w:t>
      </w:r>
      <w:r w:rsidRPr="00F92116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F92116">
        <w:rPr>
          <w:rFonts w:ascii="Times New Roman" w:eastAsia="Calibri" w:hAnsi="Times New Roman" w:cs="Times New Roman"/>
          <w:sz w:val="24"/>
          <w:szCs w:val="24"/>
        </w:rPr>
        <w:t>, типичен летен слънчев ден след пладне. Атмосферата е силно конвективна. Условията за съществуване на категория С са подобни, но слънчевата радиация е намалена поради слаба разпокъсана облачност. В слънчевите летни дни, следобед или преди залез слънце и височина на слънцето над хоризонта от 15 до 35</w:t>
      </w:r>
      <w:r w:rsidRPr="00F92116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F92116">
        <w:rPr>
          <w:rFonts w:ascii="Times New Roman" w:eastAsia="Calibri" w:hAnsi="Times New Roman" w:cs="Times New Roman"/>
          <w:sz w:val="24"/>
          <w:szCs w:val="24"/>
        </w:rPr>
        <w:t xml:space="preserve"> са типични за категориите на устойчивост С и D. При липса на слънчева радиация (нощ) преобладават категориите D, E и F, като категорията D е характерна за скорости на вятъра над 4-5 m/s.  Категория F е характерна за ясни нощи със скорост на вятъра по-малки от 2 m/s.</w:t>
      </w:r>
    </w:p>
    <w:p w14:paraId="3481AF2E" w14:textId="77777777" w:rsidR="00F92116" w:rsidRPr="00F92116" w:rsidRDefault="002D7C3E" w:rsidP="00F9211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Наличието на вертикално</w:t>
      </w:r>
      <w:r w:rsidR="00F92116" w:rsidRPr="00F92116">
        <w:rPr>
          <w:rFonts w:ascii="Times New Roman" w:eastAsia="Calibri" w:hAnsi="Times New Roman" w:cs="Times New Roman"/>
          <w:sz w:val="24"/>
          <w:szCs w:val="24"/>
        </w:rPr>
        <w:t xml:space="preserve"> движение при неустойчива атмосфера благоприятства разсейването на замърсителите и обратно, при устойчиво състояние преносът на замърсители силно се забавя. В такива случаи вероятността от поява на инверсии силно нараства.</w:t>
      </w:r>
    </w:p>
    <w:p w14:paraId="6E2A5A8A" w14:textId="77777777" w:rsidR="0064664F" w:rsidRDefault="0064664F"/>
    <w:sectPr w:rsidR="006466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96B68" w14:textId="77777777" w:rsidR="00A7446F" w:rsidRDefault="00A7446F" w:rsidP="00A7446F">
      <w:pPr>
        <w:spacing w:after="0" w:line="240" w:lineRule="auto"/>
      </w:pPr>
      <w:r>
        <w:separator/>
      </w:r>
    </w:p>
  </w:endnote>
  <w:endnote w:type="continuationSeparator" w:id="0">
    <w:p w14:paraId="054B553A" w14:textId="77777777" w:rsidR="00A7446F" w:rsidRDefault="00A7446F" w:rsidP="00A74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8CE9E" w14:textId="77777777" w:rsidR="00A7446F" w:rsidRPr="00A7446F" w:rsidRDefault="00A7446F" w:rsidP="00A7446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lang w:val="ru-RU" w:eastAsia="bg-BG"/>
      </w:rPr>
    </w:pPr>
    <w:r w:rsidRPr="00A7446F">
      <w:rPr>
        <w:rFonts w:ascii="Times New Roman" w:eastAsia="Times New Roman" w:hAnsi="Times New Roman" w:cs="Times New Roman"/>
        <w:i/>
        <w:lang w:val="en-GB" w:eastAsia="bg-BG"/>
      </w:rPr>
      <w:t>----------------------------------</w:t>
    </w:r>
    <w:r w:rsidRPr="00A7446F">
      <w:rPr>
        <w:rFonts w:ascii="Times New Roman" w:eastAsia="Times New Roman" w:hAnsi="Times New Roman" w:cs="Times New Roman"/>
        <w:i/>
        <w:lang w:val="ru-RU" w:eastAsia="bg-BG"/>
      </w:rPr>
      <w:t>---</w:t>
    </w:r>
    <w:r w:rsidRPr="00A7446F">
      <w:rPr>
        <w:rFonts w:ascii="Times New Roman" w:eastAsia="Times New Roman" w:hAnsi="Times New Roman" w:cs="Times New Roman"/>
        <w:i/>
        <w:lang w:val="en-GB" w:eastAsia="bg-BG"/>
      </w:rPr>
      <w:t xml:space="preserve">----------------- </w:t>
    </w:r>
    <w:hyperlink r:id="rId1" w:history="1">
      <w:r w:rsidRPr="00A7446F">
        <w:rPr>
          <w:rFonts w:ascii="Times New Roman" w:eastAsia="Times New Roman" w:hAnsi="Times New Roman" w:cs="Times New Roman"/>
          <w:i/>
          <w:color w:val="0000FF"/>
          <w:u w:val="single"/>
          <w:lang w:val="en-US" w:eastAsia="bg-BG"/>
        </w:rPr>
        <w:t>www</w:t>
      </w:r>
      <w:r w:rsidRPr="00A7446F">
        <w:rPr>
          <w:rFonts w:ascii="Times New Roman" w:eastAsia="Times New Roman" w:hAnsi="Times New Roman" w:cs="Times New Roman"/>
          <w:i/>
          <w:color w:val="0000FF"/>
          <w:u w:val="single"/>
          <w:lang w:val="ru-RU" w:eastAsia="bg-BG"/>
        </w:rPr>
        <w:t>.</w:t>
      </w:r>
      <w:r w:rsidRPr="00A7446F">
        <w:rPr>
          <w:rFonts w:ascii="Times New Roman" w:eastAsia="Times New Roman" w:hAnsi="Times New Roman" w:cs="Times New Roman"/>
          <w:i/>
          <w:color w:val="0000FF"/>
          <w:u w:val="single"/>
          <w:lang w:val="en-US" w:eastAsia="bg-BG"/>
        </w:rPr>
        <w:t>eufunds</w:t>
      </w:r>
      <w:r w:rsidRPr="00A7446F">
        <w:rPr>
          <w:rFonts w:ascii="Times New Roman" w:eastAsia="Times New Roman" w:hAnsi="Times New Roman" w:cs="Times New Roman"/>
          <w:i/>
          <w:color w:val="0000FF"/>
          <w:u w:val="single"/>
          <w:lang w:val="ru-RU" w:eastAsia="bg-BG"/>
        </w:rPr>
        <w:t>.</w:t>
      </w:r>
      <w:r w:rsidRPr="00A7446F">
        <w:rPr>
          <w:rFonts w:ascii="Times New Roman" w:eastAsia="Times New Roman" w:hAnsi="Times New Roman" w:cs="Times New Roman"/>
          <w:i/>
          <w:color w:val="0000FF"/>
          <w:u w:val="single"/>
          <w:lang w:val="en-US" w:eastAsia="bg-BG"/>
        </w:rPr>
        <w:t>bg</w:t>
      </w:r>
    </w:hyperlink>
    <w:r w:rsidRPr="00A7446F">
      <w:rPr>
        <w:rFonts w:ascii="Times New Roman" w:eastAsia="Times New Roman" w:hAnsi="Times New Roman" w:cs="Times New Roman"/>
        <w:i/>
        <w:lang w:val="ru-RU" w:eastAsia="bg-BG"/>
      </w:rPr>
      <w:t xml:space="preserve"> -----------------------------------------------</w:t>
    </w:r>
  </w:p>
  <w:p w14:paraId="020B573F" w14:textId="77777777" w:rsidR="00A7446F" w:rsidRPr="00A7446F" w:rsidRDefault="00A7446F" w:rsidP="00A7446F">
    <w:pPr>
      <w:overflowPunct w:val="0"/>
      <w:autoSpaceDE w:val="0"/>
      <w:autoSpaceDN w:val="0"/>
      <w:adjustRightInd w:val="0"/>
      <w:spacing w:after="0" w:line="240" w:lineRule="auto"/>
      <w:ind w:left="-93"/>
      <w:jc w:val="center"/>
      <w:textAlignment w:val="baseline"/>
      <w:rPr>
        <w:rFonts w:ascii="Times New Roman" w:eastAsia="Calibri" w:hAnsi="Times New Roman" w:cs="Times New Roman"/>
        <w:sz w:val="20"/>
        <w:szCs w:val="20"/>
        <w:lang w:val="en-GB"/>
      </w:rPr>
    </w:pPr>
    <w:r w:rsidRPr="00A7446F">
      <w:rPr>
        <w:rFonts w:ascii="Times New Roman" w:eastAsia="Calibri" w:hAnsi="Times New Roman" w:cs="Times New Roman"/>
        <w:sz w:val="20"/>
        <w:szCs w:val="20"/>
        <w:lang w:val="en-GB"/>
      </w:rPr>
      <w:t>Административен договор за предоставяне на ДБФП №BG16M1OP002-5.002-0018-C01</w:t>
    </w:r>
  </w:p>
  <w:p w14:paraId="081EC92F" w14:textId="77777777" w:rsidR="00A7446F" w:rsidRPr="00A7446F" w:rsidRDefault="00A7446F" w:rsidP="00A7446F">
    <w:pPr>
      <w:overflowPunct w:val="0"/>
      <w:autoSpaceDE w:val="0"/>
      <w:autoSpaceDN w:val="0"/>
      <w:adjustRightInd w:val="0"/>
      <w:spacing w:after="0" w:line="240" w:lineRule="auto"/>
      <w:ind w:left="-93"/>
      <w:jc w:val="center"/>
      <w:textAlignment w:val="baseline"/>
      <w:rPr>
        <w:rFonts w:ascii="Times New Roman" w:eastAsia="Calibri" w:hAnsi="Times New Roman" w:cs="Times New Roman"/>
        <w:sz w:val="20"/>
        <w:szCs w:val="20"/>
      </w:rPr>
    </w:pPr>
    <w:r w:rsidRPr="00A7446F">
      <w:rPr>
        <w:rFonts w:ascii="Times New Roman" w:eastAsia="Calibri" w:hAnsi="Times New Roman" w:cs="Times New Roman"/>
        <w:sz w:val="20"/>
        <w:szCs w:val="20"/>
      </w:rPr>
      <w:t>„Актуализация на Програмата за намаляване на емисиите и достигане на установените норми за фини прахови частици в атмосферния въздух на община Велико Търново“.</w:t>
    </w:r>
  </w:p>
  <w:p w14:paraId="26D5E245" w14:textId="77777777" w:rsidR="00A7446F" w:rsidRDefault="00A74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DE86A" w14:textId="77777777" w:rsidR="00A7446F" w:rsidRDefault="00A7446F" w:rsidP="00A7446F">
      <w:pPr>
        <w:spacing w:after="0" w:line="240" w:lineRule="auto"/>
      </w:pPr>
      <w:r>
        <w:separator/>
      </w:r>
    </w:p>
  </w:footnote>
  <w:footnote w:type="continuationSeparator" w:id="0">
    <w:p w14:paraId="17A231B1" w14:textId="77777777" w:rsidR="00A7446F" w:rsidRDefault="00A7446F" w:rsidP="00A74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774F" w14:textId="77777777" w:rsidR="00A7446F" w:rsidRPr="00A7446F" w:rsidRDefault="00A7446F" w:rsidP="00A7446F">
    <w:pPr>
      <w:pStyle w:val="Header"/>
      <w:tabs>
        <w:tab w:val="clear" w:pos="9072"/>
        <w:tab w:val="left" w:pos="8304"/>
      </w:tabs>
      <w:rPr>
        <w:rFonts w:ascii="Times New Roman" w:eastAsia="Calibri" w:hAnsi="Times New Roman" w:cs="Times New Roman"/>
        <w:b/>
        <w:sz w:val="16"/>
        <w:szCs w:val="16"/>
        <w:lang w:val="en-GB" w:eastAsia="fr-FR"/>
      </w:rPr>
    </w:pPr>
    <w:r>
      <w:tab/>
    </w:r>
    <w:r w:rsidRPr="00A7446F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60288" behindDoc="0" locked="0" layoutInCell="1" allowOverlap="1" wp14:anchorId="7CBC1D55" wp14:editId="57BE3213">
          <wp:simplePos x="0" y="0"/>
          <wp:positionH relativeFrom="margin">
            <wp:posOffset>2446020</wp:posOffset>
          </wp:positionH>
          <wp:positionV relativeFrom="paragraph">
            <wp:posOffset>182880</wp:posOffset>
          </wp:positionV>
          <wp:extent cx="1143000" cy="746125"/>
          <wp:effectExtent l="0" t="0" r="0" b="0"/>
          <wp:wrapTopAndBottom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18" t="5444" r="10377" b="6674"/>
                  <a:stretch/>
                </pic:blipFill>
                <pic:spPr bwMode="auto">
                  <a:xfrm>
                    <a:off x="0" y="0"/>
                    <a:ext cx="1143000" cy="746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46F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61312" behindDoc="0" locked="0" layoutInCell="1" allowOverlap="1" wp14:anchorId="3693E7D5" wp14:editId="6331A38E">
          <wp:simplePos x="0" y="0"/>
          <wp:positionH relativeFrom="margin">
            <wp:posOffset>106045</wp:posOffset>
          </wp:positionH>
          <wp:positionV relativeFrom="paragraph">
            <wp:posOffset>274320</wp:posOffset>
          </wp:positionV>
          <wp:extent cx="883920" cy="594360"/>
          <wp:effectExtent l="0" t="0" r="0" b="0"/>
          <wp:wrapSquare wrapText="bothSides"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46F">
      <w:rPr>
        <w:rFonts w:ascii="Times New Roman" w:eastAsia="Calibri" w:hAnsi="Times New Roman" w:cs="Times New Roman"/>
        <w:b/>
        <w:noProof/>
        <w:sz w:val="16"/>
        <w:szCs w:val="16"/>
        <w:lang w:eastAsia="bg-BG"/>
      </w:rPr>
      <w:drawing>
        <wp:anchor distT="0" distB="0" distL="114300" distR="114300" simplePos="0" relativeHeight="251659264" behindDoc="1" locked="0" layoutInCell="1" allowOverlap="1" wp14:anchorId="025C5BE0" wp14:editId="2C3D5952">
          <wp:simplePos x="0" y="0"/>
          <wp:positionH relativeFrom="margin">
            <wp:align>right</wp:align>
          </wp:positionH>
          <wp:positionV relativeFrom="paragraph">
            <wp:posOffset>327660</wp:posOffset>
          </wp:positionV>
          <wp:extent cx="1287780" cy="925195"/>
          <wp:effectExtent l="0" t="0" r="7620" b="8255"/>
          <wp:wrapTight wrapText="bothSides">
            <wp:wrapPolygon edited="0">
              <wp:start x="0" y="0"/>
              <wp:lineTo x="0" y="21348"/>
              <wp:lineTo x="21408" y="21348"/>
              <wp:lineTo x="21408" y="0"/>
              <wp:lineTo x="0" y="0"/>
            </wp:wrapPolygon>
          </wp:wrapTight>
          <wp:docPr id="92" name="Picture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925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1B0038" w14:textId="77777777" w:rsidR="00A7446F" w:rsidRPr="00A7446F" w:rsidRDefault="00A7446F" w:rsidP="00A7446F">
    <w:pPr>
      <w:tabs>
        <w:tab w:val="center" w:pos="4536"/>
        <w:tab w:val="left" w:pos="8304"/>
      </w:tabs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val="en-GB" w:eastAsia="fr-FR"/>
      </w:rPr>
    </w:pPr>
    <w:r w:rsidRPr="00A7446F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ЕВРОПЕЙСКИ СЪЮЗ</w:t>
    </w:r>
  </w:p>
  <w:p w14:paraId="73E43B1C" w14:textId="77777777" w:rsidR="00A7446F" w:rsidRPr="00A7446F" w:rsidRDefault="00A7446F" w:rsidP="00A7446F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/>
      </w:rPr>
    </w:pPr>
    <w:r w:rsidRPr="00A7446F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КОХЕЗИОНЕН ФОНД</w:t>
    </w:r>
    <w:r w:rsidRPr="00A7446F">
      <w:rPr>
        <w:rFonts w:ascii="Times New Roman" w:eastAsia="Calibri" w:hAnsi="Times New Roman" w:cs="Times New Roman"/>
        <w:b/>
        <w:sz w:val="16"/>
        <w:szCs w:val="16"/>
        <w:lang w:eastAsia="fr-FR"/>
      </w:rPr>
      <w:t xml:space="preserve">                                           </w:t>
    </w:r>
    <w:r w:rsidRPr="00A7446F">
      <w:rPr>
        <w:rFonts w:ascii="Times New Roman" w:eastAsia="Calibri" w:hAnsi="Times New Roman" w:cs="Times New Roman"/>
        <w:b/>
        <w:sz w:val="18"/>
        <w:szCs w:val="18"/>
        <w:lang w:val="en-GB"/>
      </w:rPr>
      <w:t>ОБЩИНА ВЕЛИКО ТЪРНОВО</w:t>
    </w:r>
  </w:p>
  <w:p w14:paraId="15BC880D" w14:textId="77777777" w:rsidR="00A7446F" w:rsidRPr="00A7446F" w:rsidRDefault="00A7446F" w:rsidP="00A7446F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 w:eastAsia="fr-FR"/>
      </w:rPr>
    </w:pPr>
  </w:p>
  <w:p w14:paraId="0A0A8C5A" w14:textId="381CDD68" w:rsidR="00A7446F" w:rsidRDefault="00A7446F" w:rsidP="00A7446F">
    <w:pPr>
      <w:pStyle w:val="Header"/>
      <w:tabs>
        <w:tab w:val="clear" w:pos="4536"/>
        <w:tab w:val="clear" w:pos="9072"/>
        <w:tab w:val="left" w:pos="28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11325"/>
    <w:multiLevelType w:val="hybridMultilevel"/>
    <w:tmpl w:val="438E2B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16"/>
    <w:rsid w:val="002644B1"/>
    <w:rsid w:val="002A6728"/>
    <w:rsid w:val="002D7C3E"/>
    <w:rsid w:val="0064664F"/>
    <w:rsid w:val="00A7446F"/>
    <w:rsid w:val="00F9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773029"/>
  <w15:chartTrackingRefBased/>
  <w15:docId w15:val="{94665E79-DC94-40AD-81E2-8C3EF774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7C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C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C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C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C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46F"/>
  </w:style>
  <w:style w:type="paragraph" w:styleId="Footer">
    <w:name w:val="footer"/>
    <w:basedOn w:val="Normal"/>
    <w:link w:val="Footer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Eco3</cp:lastModifiedBy>
  <cp:revision>5</cp:revision>
  <dcterms:created xsi:type="dcterms:W3CDTF">2021-02-02T15:14:00Z</dcterms:created>
  <dcterms:modified xsi:type="dcterms:W3CDTF">2021-02-12T10:16:00Z</dcterms:modified>
</cp:coreProperties>
</file>